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024C" w:rsidRPr="004C523C" w:rsidRDefault="0001024C" w:rsidP="0001024C">
      <w:pPr>
        <w:spacing w:line="480" w:lineRule="auto"/>
        <w:jc w:val="center"/>
        <w:outlineLvl w:val="0"/>
        <w:rPr>
          <w:b/>
        </w:rPr>
      </w:pPr>
      <w:r>
        <w:rPr>
          <w:b/>
        </w:rPr>
        <w:t>Method</w:t>
      </w:r>
    </w:p>
    <w:p w:rsidR="0001024C" w:rsidRPr="007D4508" w:rsidRDefault="0001024C" w:rsidP="0001024C">
      <w:pPr>
        <w:spacing w:line="480" w:lineRule="auto"/>
        <w:outlineLvl w:val="0"/>
        <w:rPr>
          <w:b/>
        </w:rPr>
      </w:pPr>
      <w:r w:rsidRPr="007D4508">
        <w:rPr>
          <w:b/>
        </w:rPr>
        <w:t>Participants</w:t>
      </w:r>
    </w:p>
    <w:p w:rsidR="0001024C" w:rsidRDefault="0001024C" w:rsidP="0001024C">
      <w:pPr>
        <w:spacing w:line="480" w:lineRule="auto"/>
        <w:ind w:firstLine="720"/>
      </w:pPr>
      <w:r>
        <w:t xml:space="preserve">There were three participant groups: 93 TD individuals (43 male, 50 female), 29 individuals with </w:t>
      </w:r>
      <w:r w:rsidRPr="00A30DB2">
        <w:t>DS (20 male, 9 female), and</w:t>
      </w:r>
      <w:r>
        <w:t xml:space="preserve"> 20 individuals with WS (10 male, 10 female). All DS and WS groups had received both phenotypic and genetic diagnosis by their clinician. The TD group were an opportunity sample from local schools, with no known diagnoses of neurodevelopmental disorders. Thirty-two of the TD group, 11 of the DS group and the whole WS group were English, and the remaining participants were French. Recruitment of all participants was via schools and parent-support groups.</w:t>
      </w:r>
      <w:r w:rsidRPr="00120D4B">
        <w:t xml:space="preserve"> </w:t>
      </w:r>
      <w:r w:rsidRPr="00107426">
        <w:t>Raven</w:t>
      </w:r>
      <w:r>
        <w:t>’</w:t>
      </w:r>
      <w:r w:rsidRPr="00107426">
        <w:t>s Coloured Progressive Matrices (RCPM; Raven, Raven, &amp; Court, 1998)</w:t>
      </w:r>
      <w:r>
        <w:t xml:space="preserve">, </w:t>
      </w:r>
      <w:r w:rsidRPr="00107426">
        <w:t xml:space="preserve">a </w:t>
      </w:r>
      <w:r>
        <w:t>measure</w:t>
      </w:r>
      <w:r w:rsidRPr="00107426">
        <w:t xml:space="preserve"> of non-verbal mental age</w:t>
      </w:r>
      <w:r>
        <w:t>, was administered to all participants. English p</w:t>
      </w:r>
      <w:r w:rsidRPr="00107426">
        <w:t xml:space="preserve">articipants </w:t>
      </w:r>
      <w:r>
        <w:t xml:space="preserve">with DS or WS </w:t>
      </w:r>
      <w:r w:rsidRPr="00107426">
        <w:t xml:space="preserve">were </w:t>
      </w:r>
      <w:r>
        <w:t xml:space="preserve">also </w:t>
      </w:r>
      <w:r w:rsidRPr="00107426">
        <w:t>tested on the British Picture Vocabulary Scale I</w:t>
      </w:r>
      <w:r>
        <w:t>I</w:t>
      </w:r>
      <w:r w:rsidRPr="00107426">
        <w:t>I (</w:t>
      </w:r>
      <w:r w:rsidRPr="00756498">
        <w:t>BPVS; Dun</w:t>
      </w:r>
      <w:r>
        <w:t>n, Dunn, Styles, &amp; Sewell, 2009</w:t>
      </w:r>
      <w:r w:rsidRPr="00107426">
        <w:t>), a measure of receptive vocabulary</w:t>
      </w:r>
      <w:r>
        <w:t xml:space="preserve">, whereas the French participants with DS or WS were tested on the equivalent, </w:t>
      </w:r>
      <w:proofErr w:type="spellStart"/>
      <w:r w:rsidRPr="00762A47">
        <w:t>L'échelle</w:t>
      </w:r>
      <w:proofErr w:type="spellEnd"/>
      <w:r w:rsidRPr="00762A47">
        <w:t xml:space="preserve"> de </w:t>
      </w:r>
      <w:proofErr w:type="spellStart"/>
      <w:r w:rsidRPr="00762A47">
        <w:t>vocabulaire</w:t>
      </w:r>
      <w:proofErr w:type="spellEnd"/>
      <w:r w:rsidRPr="00762A47">
        <w:t xml:space="preserve"> </w:t>
      </w:r>
      <w:proofErr w:type="spellStart"/>
      <w:r w:rsidRPr="00762A47">
        <w:t>en</w:t>
      </w:r>
      <w:proofErr w:type="spellEnd"/>
      <w:r w:rsidRPr="00762A47">
        <w:t xml:space="preserve"> images Peabody (E</w:t>
      </w:r>
      <w:r>
        <w:t>VIP</w:t>
      </w:r>
      <w:r w:rsidRPr="00762A47">
        <w:t>; Dunn et al., 1993)</w:t>
      </w:r>
      <w:r>
        <w:t>. For the sake of brevity, both tests will hereafter be referred to as BPVS. Comparison of group means demonstrated an effect of Age (</w:t>
      </w:r>
      <w:proofErr w:type="gramStart"/>
      <w:r w:rsidRPr="00DB60AA">
        <w:rPr>
          <w:i/>
        </w:rPr>
        <w:t>F</w:t>
      </w:r>
      <w:r>
        <w:t>(</w:t>
      </w:r>
      <w:proofErr w:type="gramEnd"/>
      <w:r>
        <w:t xml:space="preserve">2, 139)=187.28, </w:t>
      </w:r>
      <w:r w:rsidRPr="00DB60AA">
        <w:rPr>
          <w:i/>
        </w:rPr>
        <w:t>p</w:t>
      </w:r>
      <w:r>
        <w:t xml:space="preserve">&lt;.001, </w:t>
      </w:r>
      <w:r>
        <w:rPr>
          <w:i/>
        </w:rPr>
        <w:t>η</w:t>
      </w:r>
      <w:r>
        <w:rPr>
          <w:i/>
          <w:vertAlign w:val="subscript"/>
        </w:rPr>
        <w:t>p</w:t>
      </w:r>
      <w:r>
        <w:rPr>
          <w:i/>
          <w:vertAlign w:val="superscript"/>
        </w:rPr>
        <w:t>2</w:t>
      </w:r>
      <w:r>
        <w:rPr>
          <w:vertAlign w:val="superscript"/>
        </w:rPr>
        <w:t xml:space="preserve"> </w:t>
      </w:r>
      <w:r>
        <w:t>=.73:  Tukey comparisons demonstrated that the TD group were younger than the two atypical groups (</w:t>
      </w:r>
      <w:proofErr w:type="spellStart"/>
      <w:r w:rsidRPr="00DB60AA">
        <w:rPr>
          <w:i/>
        </w:rPr>
        <w:t>p</w:t>
      </w:r>
      <w:r>
        <w:t>s</w:t>
      </w:r>
      <w:proofErr w:type="spellEnd"/>
      <w:r>
        <w:t>&lt;.001), with no difference between the DS and WS groups (</w:t>
      </w:r>
      <w:r w:rsidRPr="00DB60AA">
        <w:rPr>
          <w:i/>
        </w:rPr>
        <w:t>p</w:t>
      </w:r>
      <w:r>
        <w:t>=.12). There was a group difference for RCPM (</w:t>
      </w:r>
      <w:proofErr w:type="gramStart"/>
      <w:r w:rsidRPr="00DB60AA">
        <w:rPr>
          <w:i/>
        </w:rPr>
        <w:t>F</w:t>
      </w:r>
      <w:r>
        <w:t>(</w:t>
      </w:r>
      <w:proofErr w:type="gramEnd"/>
      <w:r>
        <w:t xml:space="preserve">2, 139)=79.90, </w:t>
      </w:r>
      <w:r w:rsidRPr="00DB60AA">
        <w:rPr>
          <w:i/>
        </w:rPr>
        <w:t>p</w:t>
      </w:r>
      <w:r>
        <w:t xml:space="preserve">&lt;.001, </w:t>
      </w:r>
      <w:r>
        <w:rPr>
          <w:i/>
        </w:rPr>
        <w:t>η</w:t>
      </w:r>
      <w:r>
        <w:rPr>
          <w:i/>
          <w:vertAlign w:val="subscript"/>
        </w:rPr>
        <w:t>p</w:t>
      </w:r>
      <w:r>
        <w:rPr>
          <w:i/>
          <w:vertAlign w:val="superscript"/>
        </w:rPr>
        <w:t>2</w:t>
      </w:r>
      <w:r>
        <w:rPr>
          <w:vertAlign w:val="superscript"/>
        </w:rPr>
        <w:t xml:space="preserve"> </w:t>
      </w:r>
      <w:r>
        <w:t>=.54; the TD group were stronger than the DS and WS groups (</w:t>
      </w:r>
      <w:r w:rsidRPr="00DB60AA">
        <w:rPr>
          <w:i/>
        </w:rPr>
        <w:t>p</w:t>
      </w:r>
      <w:r>
        <w:t>&lt;.001), who showed no difference (</w:t>
      </w:r>
      <w:r w:rsidRPr="00DB60AA">
        <w:rPr>
          <w:i/>
        </w:rPr>
        <w:t>p</w:t>
      </w:r>
      <w:r>
        <w:t xml:space="preserve">=.10). The WS group had higher BPVS scores than the DS group, </w:t>
      </w:r>
      <w:proofErr w:type="gramStart"/>
      <w:r w:rsidRPr="00DB60AA">
        <w:rPr>
          <w:i/>
        </w:rPr>
        <w:t>t</w:t>
      </w:r>
      <w:r>
        <w:t>(</w:t>
      </w:r>
      <w:proofErr w:type="gramEnd"/>
      <w:r>
        <w:t xml:space="preserve">47)=7.53, </w:t>
      </w:r>
      <w:r w:rsidRPr="00DB60AA">
        <w:rPr>
          <w:i/>
        </w:rPr>
        <w:t>p</w:t>
      </w:r>
      <w:r>
        <w:t xml:space="preserve">&lt;.001. Participant information (mean, standard deviation and range) is given in Table 1. </w:t>
      </w:r>
    </w:p>
    <w:p w:rsidR="0001024C" w:rsidRPr="007D4508" w:rsidRDefault="0001024C" w:rsidP="0001024C">
      <w:pPr>
        <w:spacing w:line="480" w:lineRule="auto"/>
        <w:outlineLvl w:val="0"/>
        <w:rPr>
          <w:b/>
        </w:rPr>
      </w:pPr>
      <w:r w:rsidRPr="007D4508">
        <w:rPr>
          <w:b/>
        </w:rPr>
        <w:t>Maze task</w:t>
      </w:r>
    </w:p>
    <w:p w:rsidR="0001024C" w:rsidRDefault="0001024C" w:rsidP="0001024C">
      <w:pPr>
        <w:spacing w:line="480" w:lineRule="auto"/>
        <w:ind w:firstLine="720"/>
      </w:pPr>
      <w:r>
        <w:lastRenderedPageBreak/>
        <w:t xml:space="preserve">The main experimental task was a virtual environment (VE) maze, created using </w:t>
      </w:r>
      <w:proofErr w:type="spellStart"/>
      <w:r>
        <w:t>Virtools</w:t>
      </w:r>
      <w:proofErr w:type="spellEnd"/>
      <w:r>
        <w:t xml:space="preserve"> 5.0, a 3D software toolkit. The maze was laid out in a grid of 16 ‘blocks’. Fifteen landmarks featured on the paths in the maze. </w:t>
      </w:r>
    </w:p>
    <w:p w:rsidR="0001024C" w:rsidRDefault="0001024C" w:rsidP="0001024C">
      <w:pPr>
        <w:spacing w:line="480" w:lineRule="auto"/>
        <w:ind w:firstLine="720"/>
      </w:pPr>
      <w:r>
        <w:t>There were two conditions: Rich and Sparse, each with the same layout and same number of landmarks. In the Sparse condition, the blocks were uniform brickwork and each appeared identical to every other (Figure 1a). In the Rich condition, the blocks appeared as detailed and realistically-rendered street blocks and each block was unique (Figure 1b). In both conditions, there were three ‘sheds’ hidden in recesses within particular blocks. Each participant started the maze at a brown shed, which contained a locked box. There were two further sheds in each condition, a blue one and a green one, both of which contained a hidden key.</w:t>
      </w:r>
    </w:p>
    <w:p w:rsidR="0001024C" w:rsidRDefault="0001024C" w:rsidP="0001024C">
      <w:pPr>
        <w:spacing w:line="480" w:lineRule="auto"/>
        <w:ind w:firstLine="720"/>
      </w:pPr>
      <w:r>
        <w:t xml:space="preserve">In each condition, there were two routes to learn: from the brown shed to the blue shed and back again (to open the box with the key), and from the brown shed to the green shed and back again (Figure 2). To ensure equivalent difficulty levels across rich and sparse conditions, the routes in the sparse condition were mirror images of the routes in the rich condition. </w:t>
      </w:r>
    </w:p>
    <w:p w:rsidR="0001024C" w:rsidRDefault="0001024C" w:rsidP="0001024C">
      <w:pPr>
        <w:spacing w:line="480" w:lineRule="auto"/>
        <w:ind w:firstLine="720"/>
      </w:pPr>
      <w:r>
        <w:t>There were two non-overlapping sets of landmarks, so that there were 2 X 2 possible combinations of conditions and landmark sets. Each participant completed one sparse condition and one rich condition; order of condition, order of route learned, and landmark set were fully counterbalanced across participants.</w:t>
      </w:r>
    </w:p>
    <w:p w:rsidR="0001024C" w:rsidRDefault="0001024C" w:rsidP="0001024C">
      <w:pPr>
        <w:pBdr>
          <w:top w:val="single" w:sz="4" w:space="1" w:color="auto"/>
          <w:bottom w:val="single" w:sz="4" w:space="1" w:color="auto"/>
        </w:pBdr>
        <w:spacing w:line="480" w:lineRule="auto"/>
        <w:ind w:firstLine="720"/>
        <w:jc w:val="center"/>
      </w:pPr>
      <w:r>
        <w:t>Figures 1 and 2 about here</w:t>
      </w:r>
    </w:p>
    <w:p w:rsidR="0001024C" w:rsidRPr="007D4508" w:rsidRDefault="0001024C" w:rsidP="0001024C">
      <w:pPr>
        <w:spacing w:line="480" w:lineRule="auto"/>
        <w:outlineLvl w:val="0"/>
        <w:rPr>
          <w:b/>
        </w:rPr>
      </w:pPr>
      <w:r w:rsidRPr="007D4508">
        <w:rPr>
          <w:b/>
        </w:rPr>
        <w:t>Procedure</w:t>
      </w:r>
    </w:p>
    <w:p w:rsidR="0001024C" w:rsidRDefault="0001024C" w:rsidP="0001024C">
      <w:pPr>
        <w:spacing w:line="480" w:lineRule="auto"/>
        <w:ind w:firstLine="720"/>
      </w:pPr>
      <w:r w:rsidRPr="000638F9">
        <w:t xml:space="preserve">Participants </w:t>
      </w:r>
      <w:r>
        <w:t xml:space="preserve">took part in two sessions, spaced no more than three weeks apart. Each session started with one condition of the maze task (Rich or Sparse), followed either by the attention test battery (see below), or followed by RCPM (and also BPVS for the WS and DS </w:t>
      </w:r>
      <w:r>
        <w:lastRenderedPageBreak/>
        <w:t>groups). Maze task condition and the subsequent tasks were counterbalanced between the first and second sessions, across participants.</w:t>
      </w:r>
    </w:p>
    <w:p w:rsidR="0001024C" w:rsidRDefault="0001024C" w:rsidP="0001024C">
      <w:pPr>
        <w:spacing w:line="480" w:lineRule="auto"/>
        <w:ind w:firstLine="720"/>
      </w:pPr>
      <w:r>
        <w:t xml:space="preserve">Each participant first completed a short familiarization maze with no landmarks and with plain blue walls. In the familiarization maze, participants started next to a locked box of treasure and were instructed to go forward and find the key to open the box. Participants followed a single path which included making two right-angle turns; there were no direction decisions to be made. </w:t>
      </w:r>
    </w:p>
    <w:p w:rsidR="0001024C" w:rsidRDefault="0001024C" w:rsidP="0001024C">
      <w:pPr>
        <w:spacing w:line="480" w:lineRule="auto"/>
        <w:ind w:firstLine="720"/>
      </w:pPr>
      <w:r>
        <w:t>Movement through the maze was controlled by a combination of computer keyboard and mouse: the space bar caused forwards movement, while orientation was achieved by the mouse. Participants could orient upwards and downwards as well as orienting left and right. At the end of the maze was a key, which was picked up by walking into it. A key symbol appeared and remained at the edge of the screen to remind the participant that they were in possession of the key. On returning to the box and walking into it, there was an animation of the box opening to reveal a large golden star.</w:t>
      </w:r>
    </w:p>
    <w:p w:rsidR="0001024C" w:rsidRDefault="0001024C" w:rsidP="0001024C">
      <w:pPr>
        <w:spacing w:line="480" w:lineRule="auto"/>
        <w:ind w:firstLine="720"/>
      </w:pPr>
      <w:r>
        <w:t xml:space="preserve">After the familiarization maze, the participant was instructed that the main game was about to begin. It was explained again that the game involved finding the key to open the box of treasure, but that this time if the participant made a wrong turn, their path would be blocked by a red barrier, so they would need to try a different way. On an initial learning trial, all the barriers were visible, clearly blocking incorrect paths such that participants could only follow the correct route to the key and back. On subsequent trials, however, participants were instructed to walk the correct route from memory. Thus, barriers were invisible unless the participant attempted to pass down an incorrect path. Similarly, the barriers disappeared after the participant moved away from them. Each triggering of a barrier counted as an error. The participant repeated the entire return route, from box to key and back, until it was completed twice in a row without triggering any barrier, up to a maximum of 10 attempts. </w:t>
      </w:r>
      <w:r>
        <w:lastRenderedPageBreak/>
        <w:t>The dependent variable was the number of errors made in total across all attempts at learning a route. If the participant travelled past the shed (with key hidden within) twice without noticing it, the experimenter said “I think you are close, stop and look around you”.</w:t>
      </w:r>
    </w:p>
    <w:p w:rsidR="0001024C" w:rsidRDefault="0001024C" w:rsidP="0001024C">
      <w:pPr>
        <w:spacing w:line="480" w:lineRule="auto"/>
        <w:ind w:firstLine="720"/>
      </w:pPr>
      <w:r>
        <w:t xml:space="preserve">After this procedure for the first route in each condition, the participant was informed that a different route was about to be learned, in which the key was hidden in a different place from before. The procedure was then repeated for the second route. If a participant successfully learned both routes, they were tested on their ability to find a shortcut between the two key locations. If the participant learned the route to the blue shed first, the start point was the blue shed and the key would be hidden in the green shed. If the route to the green shed had been learned first, the start point was the green shed and the key would be hidden in the blue shed. The participant was instructed “You are going to start at the blue (or green) shed and need to go straight to the green (or blue) shed in </w:t>
      </w:r>
      <w:r w:rsidRPr="000906F1">
        <w:t>the quickest way possible, get the key and come back to open the box. There are no barriers now, so you can go any way you want to. You need to go the quickest way, though. Once you have the key, go back the way you came and open the box.” The participant was given feedback as to whether the quickest route had been used each time. There was a time limit of 60 seconds for each attempt; there was a maximum of five attempts to find the quickest route on two consecutive trials; if successful, the participant was</w:t>
      </w:r>
      <w:r>
        <w:t xml:space="preserve"> credited with knowledge of the shortcut.</w:t>
      </w:r>
    </w:p>
    <w:p w:rsidR="0001024C" w:rsidRDefault="0001024C" w:rsidP="0001024C">
      <w:pPr>
        <w:spacing w:line="480" w:lineRule="auto"/>
        <w:outlineLvl w:val="0"/>
        <w:rPr>
          <w:b/>
        </w:rPr>
      </w:pPr>
      <w:r>
        <w:rPr>
          <w:b/>
        </w:rPr>
        <w:t>Attention</w:t>
      </w:r>
      <w:r w:rsidRPr="007D4508">
        <w:rPr>
          <w:b/>
        </w:rPr>
        <w:t xml:space="preserve"> </w:t>
      </w:r>
      <w:r>
        <w:rPr>
          <w:b/>
        </w:rPr>
        <w:t>test battery</w:t>
      </w:r>
    </w:p>
    <w:p w:rsidR="0001024C" w:rsidRPr="00EE4DAC" w:rsidRDefault="0001024C" w:rsidP="0001024C">
      <w:pPr>
        <w:spacing w:line="480" w:lineRule="auto"/>
        <w:ind w:firstLine="720"/>
      </w:pPr>
      <w:r>
        <w:rPr>
          <w:b/>
        </w:rPr>
        <w:t>Go/No Go (GNG) task.</w:t>
      </w:r>
      <w:r>
        <w:t xml:space="preserve"> GNG was chosen as a measure of executive control. A pseudo-random series of 5cm diameter red, purple, orange and yellow solid circles was presented on a computer, against a white background. The participant was told that he/she was going to play the ‘White Game’ and was instructed to press the space bar as rapidly as possible when he/she saw each circle, unless it was red, in which case he/she should refrain from pressing the space bar. If the space bar was pressed on red, a buzzing ‘error’ noise was </w:t>
      </w:r>
      <w:r>
        <w:lastRenderedPageBreak/>
        <w:t>heard and the circle disappeared. Each circle disappeared after two seconds if the space bar was not pressed. If the participant pressed the space bar on two subsequent red trials, he/she was reminded of the task rules. Red trials constituted 1/4 of all trials. There were 8 practice trials, followed by 64 experimental trials. The dependent measures were the average reaction time for correct hits and the number of errors (pressing the space bar for a red circle).</w:t>
      </w:r>
    </w:p>
    <w:p w:rsidR="0001024C" w:rsidRDefault="0001024C" w:rsidP="0001024C">
      <w:pPr>
        <w:spacing w:line="480" w:lineRule="auto"/>
        <w:ind w:firstLine="720"/>
      </w:pPr>
      <w:r>
        <w:rPr>
          <w:b/>
        </w:rPr>
        <w:t>Sustained attention task.</w:t>
      </w:r>
      <w:r>
        <w:t xml:space="preserve"> A pseudo-random series of 5cm diameter white, pink, green and blue solid circles was presented on a computer, against a black background. The participant was told that he/she was going to play the ‘Black Game’ and was instructed to press the space bar as rapidly as possible when he/she saw each blue circle, but to refrain from pressing the space bar on seeing all other colours. If the space bar was pressed on the other colours, or was not pressed on a blue trial, a buzzing ‘error’ noise was heard and the circle disappeared. Each circle disappeared after two seconds if the space bar was not pressed. If the participant failed to press the space bar on a blue trial, he/she was reminded of the task rules. Blue trials constituted 1/8 of all trials. There were 8 practice trials, followed by 64 experimental trials. The dependent measure was the average reaction time for correct hits.</w:t>
      </w:r>
    </w:p>
    <w:p w:rsidR="0001024C" w:rsidRDefault="0001024C" w:rsidP="0001024C">
      <w:pPr>
        <w:spacing w:line="480" w:lineRule="auto"/>
        <w:ind w:firstLine="720"/>
      </w:pPr>
      <w:r>
        <w:rPr>
          <w:b/>
        </w:rPr>
        <w:t>Switching attention task.</w:t>
      </w:r>
      <w:r>
        <w:t xml:space="preserve"> The participant was told that the Black and White Games would now be mixed together and was reminded of the rules for each. There were 8 practice trials of the Black Game, followed by 8 practice trials of the White Game. There then followed 2 16-trial blocks of the Black Game, alternating with 2 16-trial blocks of the White Game. The dependent measure was the average reaction time for correct hits in the White Game trials. A switching measure was calculated by subtracting this average from the average reaction time for correct hits in the main GNG task.</w:t>
      </w:r>
    </w:p>
    <w:p w:rsidR="0001024C" w:rsidRDefault="0001024C" w:rsidP="0001024C">
      <w:pPr>
        <w:spacing w:line="480" w:lineRule="auto"/>
        <w:ind w:firstLine="720"/>
      </w:pPr>
      <w:r>
        <w:rPr>
          <w:b/>
        </w:rPr>
        <w:t>Selective attention task.</w:t>
      </w:r>
      <w:r>
        <w:t xml:space="preserve"> The selective attention task was adapted from a ‘flanker’ task (e.g., Kopp, </w:t>
      </w:r>
      <w:proofErr w:type="spellStart"/>
      <w:r w:rsidRPr="00251AD7">
        <w:t>Ma</w:t>
      </w:r>
      <w:r>
        <w:t>t</w:t>
      </w:r>
      <w:r w:rsidRPr="00251AD7">
        <w:t>tler</w:t>
      </w:r>
      <w:proofErr w:type="spellEnd"/>
      <w:r w:rsidRPr="00251AD7">
        <w:t>,</w:t>
      </w:r>
      <w:r>
        <w:t xml:space="preserve"> &amp; </w:t>
      </w:r>
      <w:proofErr w:type="spellStart"/>
      <w:r>
        <w:t>Rist</w:t>
      </w:r>
      <w:proofErr w:type="spellEnd"/>
      <w:r>
        <w:t xml:space="preserve">, 1994). </w:t>
      </w:r>
      <w:r w:rsidRPr="009923A6">
        <w:t xml:space="preserve">Each stimulus consisted of a </w:t>
      </w:r>
      <w:r>
        <w:t>row of five arrows</w:t>
      </w:r>
      <w:r w:rsidRPr="009923A6">
        <w:t xml:space="preserve">, with </w:t>
      </w:r>
      <w:r w:rsidRPr="009923A6">
        <w:lastRenderedPageBreak/>
        <w:t>the target in the central position</w:t>
      </w:r>
      <w:r>
        <w:t>. Trials were either congruent, on which the arrows pointed in the same direction, &lt;&lt;&lt;&lt;&lt; or &gt;&gt;&gt;&gt;&gt;, or incongruent,</w:t>
      </w:r>
    </w:p>
    <w:p w:rsidR="0001024C" w:rsidRPr="00443BB1" w:rsidRDefault="0001024C" w:rsidP="0001024C">
      <w:pPr>
        <w:spacing w:line="480" w:lineRule="auto"/>
        <w:rPr>
          <w:b/>
        </w:rPr>
      </w:pPr>
      <w:r>
        <w:t xml:space="preserve"> &gt;&gt;</w:t>
      </w:r>
      <w:r w:rsidRPr="00B95387">
        <w:rPr>
          <w:sz w:val="12"/>
          <w:szCs w:val="12"/>
        </w:rPr>
        <w:t xml:space="preserve"> </w:t>
      </w:r>
      <w:r>
        <w:t>&lt;</w:t>
      </w:r>
      <w:r w:rsidRPr="00B95387">
        <w:rPr>
          <w:sz w:val="12"/>
          <w:szCs w:val="12"/>
        </w:rPr>
        <w:t xml:space="preserve"> </w:t>
      </w:r>
      <w:r>
        <w:t>&gt;&gt; or &lt;&lt;</w:t>
      </w:r>
      <w:r w:rsidRPr="00B95387">
        <w:rPr>
          <w:sz w:val="12"/>
          <w:szCs w:val="12"/>
        </w:rPr>
        <w:t xml:space="preserve"> </w:t>
      </w:r>
      <w:r>
        <w:t>&gt;</w:t>
      </w:r>
      <w:r w:rsidRPr="00B95387">
        <w:rPr>
          <w:sz w:val="12"/>
          <w:szCs w:val="12"/>
        </w:rPr>
        <w:t xml:space="preserve"> </w:t>
      </w:r>
      <w:r>
        <w:t>&lt;&lt;. The participant’s task was to press the space bar as rapidly as possible only if the central arrow pointed left. The rules were explained with the aid of pointing to the left, to clarify matters in case the participant was not confident with the left vs. right distinction. If the space bar was pressed when the central arrow pointed to the right, a buzzing ‘error’ noise was heard and the stimulus disappeared. Each trial’s stimulus disappeared after 1.5 seconds if the space bar was not pressed.</w:t>
      </w:r>
      <w:r w:rsidRPr="00443BB1">
        <w:t xml:space="preserve"> </w:t>
      </w:r>
      <w:r>
        <w:t>If the participant failed to press the space bar on two consecutive ‘left’ trials, he/she was reminded of the task rules. ‘Left’ trials constituted 1/2 of all trials. There were 8 practice trials, followed by 64 experimental trials. The dependent measures were the average reaction time for correct hits on both congruent and incongruent ‘left’ trials. A selective attention measure was subsequently computed by subtracting the former from the latter.</w:t>
      </w:r>
    </w:p>
    <w:p w:rsidR="006F58CD" w:rsidRDefault="0001024C">
      <w:bookmarkStart w:id="0" w:name="_GoBack"/>
      <w:bookmarkEnd w:id="0"/>
    </w:p>
    <w:sectPr w:rsidR="006F58C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024C"/>
    <w:rsid w:val="0001024C"/>
    <w:rsid w:val="00480DCF"/>
    <w:rsid w:val="005C766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59B57F1-0B44-44F1-A330-82CB03936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024C"/>
    <w:pPr>
      <w:spacing w:after="0" w:line="240" w:lineRule="auto"/>
    </w:pPr>
    <w:rPr>
      <w:rFonts w:ascii="Times New Roman" w:eastAsia="MS Mincho" w:hAnsi="Times New Roman" w:cs="Times New Roman"/>
      <w:sz w:val="24"/>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1662</Words>
  <Characters>9480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Institute of Education</Company>
  <LinksUpToDate>false</LinksUpToDate>
  <CharactersWithSpaces>11120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Emily Farran</dc:creator>
  <cp:keywords/>
  <dc:description/>
  <cp:lastModifiedBy>Emily Farran</cp:lastModifiedBy>
  <cp:revision>1</cp:revision>
  <dcterms:created xsi:type="dcterms:W3CDTF">2015-11-25T18:05:00Z</dcterms:created>
  <dcterms:modified xsi:type="dcterms:W3CDTF">2015-11-25T18:05:00Z</dcterms:modified>
</cp:coreProperties>
</file>